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27F2B" w:rsidRDefault="00F27F2B" w:rsidP="00F27F2B">
      <w:pPr>
        <w:jc w:val="right"/>
        <w:rPr>
          <w:rFonts w:ascii="Arial" w:hAnsi="Arial" w:cs="Arial"/>
          <w:b/>
          <w:color w:val="000000"/>
        </w:rPr>
      </w:pPr>
    </w:p>
    <w:p w:rsidR="00F27F2B" w:rsidRDefault="00F27F2B" w:rsidP="00F27F2B">
      <w:pPr>
        <w:jc w:val="right"/>
        <w:rPr>
          <w:rFonts w:ascii="Arial" w:hAnsi="Arial" w:cs="Arial"/>
          <w:b/>
          <w:color w:val="000000"/>
        </w:rPr>
      </w:pPr>
    </w:p>
    <w:p w:rsidR="00F27F2B" w:rsidRDefault="00F27F2B" w:rsidP="00F27F2B">
      <w:pPr>
        <w:jc w:val="right"/>
        <w:rPr>
          <w:rFonts w:ascii="Arial" w:hAnsi="Arial" w:cs="Arial"/>
          <w:b/>
          <w:color w:val="000000"/>
        </w:rPr>
      </w:pPr>
    </w:p>
    <w:p w:rsidR="00F27F2B" w:rsidRDefault="00F27F2B" w:rsidP="00F27F2B">
      <w:pPr>
        <w:jc w:val="right"/>
        <w:rPr>
          <w:rFonts w:ascii="Arial" w:hAnsi="Arial" w:cs="Arial"/>
          <w:b/>
          <w:color w:val="000000"/>
        </w:rPr>
      </w:pPr>
    </w:p>
    <w:p w:rsidR="00F27F2B" w:rsidRDefault="00F27F2B" w:rsidP="00F27F2B">
      <w:pPr>
        <w:jc w:val="right"/>
        <w:rPr>
          <w:rFonts w:ascii="Arial" w:hAnsi="Arial" w:cs="Arial"/>
          <w:b/>
        </w:rPr>
      </w:pPr>
    </w:p>
    <w:p w:rsidR="00F27F2B" w:rsidRPr="002F5A4C" w:rsidRDefault="00F27F2B" w:rsidP="00F27F2B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:rsidR="00F27F2B" w:rsidRPr="002F5A4C" w:rsidRDefault="00F27F2B" w:rsidP="00F27F2B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rPr>
          <w:rFonts w:ascii="Arial" w:hAnsi="Arial" w:cs="Arial"/>
          <w:sz w:val="23"/>
          <w:szCs w:val="23"/>
        </w:rPr>
      </w:pPr>
    </w:p>
    <w:p w:rsidR="00F27F2B" w:rsidRDefault="00F27F2B" w:rsidP="00F27F2B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:rsidR="00F27F2B" w:rsidRDefault="00F27F2B" w:rsidP="00F27F2B">
      <w:pPr>
        <w:jc w:val="center"/>
        <w:rPr>
          <w:rFonts w:ascii="Arial" w:hAnsi="Arial" w:cs="Arial"/>
          <w:b/>
          <w:sz w:val="28"/>
          <w:szCs w:val="28"/>
        </w:rPr>
      </w:pPr>
    </w:p>
    <w:p w:rsidR="00F27F2B" w:rsidRDefault="00F27F2B" w:rsidP="00F27F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F27F2B" w:rsidRPr="007F6902" w:rsidRDefault="00F27F2B" w:rsidP="00F27F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 szczegółowej osnowy wysokościowej i wielofunkcyjnej dla obszaru gmin: Jadów, Poświętne, Strachówka i Tłuszcz</w:t>
      </w: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rPr>
          <w:rFonts w:ascii="Arial" w:hAnsi="Arial" w:cs="Arial"/>
          <w:sz w:val="30"/>
          <w:szCs w:val="30"/>
        </w:rPr>
      </w:pPr>
    </w:p>
    <w:p w:rsidR="00F27F2B" w:rsidRDefault="00F27F2B" w:rsidP="00F27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Wołomin, lipiec 2017</w:t>
      </w:r>
      <w:r w:rsidRPr="002F5A4C">
        <w:rPr>
          <w:rFonts w:ascii="Arial" w:hAnsi="Arial" w:cs="Arial"/>
        </w:rPr>
        <w:t>r.</w:t>
      </w:r>
    </w:p>
    <w:p w:rsidR="00F27F2B" w:rsidRPr="00ED5F02" w:rsidRDefault="00F27F2B" w:rsidP="00F27F2B">
      <w:pPr>
        <w:rPr>
          <w:b/>
          <w:color w:val="000000"/>
          <w:sz w:val="28"/>
        </w:rPr>
      </w:pPr>
    </w:p>
    <w:p w:rsidR="00F27F2B" w:rsidRPr="00ED5F02" w:rsidRDefault="00F27F2B" w:rsidP="00F27F2B">
      <w:pPr>
        <w:rPr>
          <w:b/>
          <w:color w:val="000000"/>
          <w:sz w:val="28"/>
        </w:rPr>
      </w:pPr>
    </w:p>
    <w:p w:rsidR="00F27F2B" w:rsidRPr="00ED5F02" w:rsidRDefault="00F27F2B" w:rsidP="00F27F2B">
      <w:pPr>
        <w:rPr>
          <w:b/>
          <w:color w:val="000000"/>
          <w:sz w:val="28"/>
        </w:rPr>
      </w:pPr>
    </w:p>
    <w:p w:rsidR="00F27F2B" w:rsidRPr="00ED5F02" w:rsidRDefault="00F27F2B" w:rsidP="00F27F2B">
      <w:pPr>
        <w:numPr>
          <w:ilvl w:val="0"/>
          <w:numId w:val="1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:rsidR="00F27F2B" w:rsidRPr="00ED5F02" w:rsidRDefault="00F27F2B" w:rsidP="00F27F2B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:rsidR="00F27F2B" w:rsidRPr="00686A28" w:rsidRDefault="00F27F2B" w:rsidP="00F27F2B">
      <w:r w:rsidRPr="00ED5F02">
        <w:tab/>
      </w:r>
      <w:r w:rsidRPr="00686A28">
        <w:rPr>
          <w:sz w:val="22"/>
          <w:szCs w:val="22"/>
        </w:rPr>
        <w:t>Przedmiotem zamówienia jest sporządzenie projektu szczegółowej osnowy wysokościowej oraz osnowy wielofunkcyjnej (szczegółowej i wysokościowej) umożliwiającej bezpośrednią kontrolę odbiorników GNSS, dla obszaru gmin: Jadów, Strachówka, Poświętne i Tłuszcz.</w:t>
      </w:r>
    </w:p>
    <w:p w:rsidR="00F27F2B" w:rsidRPr="00ED5F02" w:rsidRDefault="00F27F2B" w:rsidP="00F27F2B">
      <w:r w:rsidRPr="00ED5F02">
        <w:tab/>
        <w:t xml:space="preserve">Zamówienie podlega zgłoszeniu w Powiatowym Ośrodku Dokumentacji Geodezyjnej i Kartograficznej w Wołominie. </w:t>
      </w:r>
    </w:p>
    <w:p w:rsidR="00F27F2B" w:rsidRPr="00ED5F02" w:rsidRDefault="00F27F2B" w:rsidP="00F27F2B">
      <w:pPr>
        <w:ind w:left="426"/>
        <w:rPr>
          <w:b/>
          <w:bCs/>
          <w:lang w:eastAsia="ar-SA"/>
        </w:rPr>
      </w:pPr>
      <w:r w:rsidRPr="00ED5F02">
        <w:rPr>
          <w:lang w:eastAsia="ar-SA"/>
        </w:rPr>
        <w:t xml:space="preserve">     </w:t>
      </w:r>
    </w:p>
    <w:p w:rsidR="00F27F2B" w:rsidRPr="00ED5F02" w:rsidRDefault="00F27F2B" w:rsidP="00F27F2B">
      <w:pPr>
        <w:tabs>
          <w:tab w:val="left" w:pos="993"/>
        </w:tabs>
        <w:ind w:left="425" w:firstLine="567"/>
        <w:rPr>
          <w:lang w:val="x-none"/>
        </w:rPr>
      </w:pPr>
      <w:r w:rsidRPr="00ED5F02">
        <w:rPr>
          <w:lang w:val="x-none"/>
        </w:rPr>
        <w:tab/>
      </w:r>
    </w:p>
    <w:p w:rsidR="00F27F2B" w:rsidRPr="00ED5F02" w:rsidRDefault="00F27F2B" w:rsidP="00F27F2B">
      <w:pPr>
        <w:numPr>
          <w:ilvl w:val="0"/>
          <w:numId w:val="1"/>
        </w:numPr>
        <w:tabs>
          <w:tab w:val="left" w:pos="142"/>
        </w:tabs>
        <w:suppressAutoHyphens/>
        <w:ind w:left="426" w:hanging="42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Podstawowe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dane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obiekcie.</w:t>
      </w:r>
    </w:p>
    <w:p w:rsidR="00F27F2B" w:rsidRPr="00ED5F02" w:rsidRDefault="00F27F2B" w:rsidP="00F27F2B">
      <w:pPr>
        <w:tabs>
          <w:tab w:val="left" w:pos="142"/>
        </w:tabs>
        <w:ind w:left="426"/>
        <w:jc w:val="both"/>
      </w:pPr>
    </w:p>
    <w:p w:rsidR="00F27F2B" w:rsidRPr="00ED5F02" w:rsidRDefault="00F27F2B" w:rsidP="00F27F2B"/>
    <w:p w:rsidR="00F27F2B" w:rsidRPr="00ED5F02" w:rsidRDefault="00F27F2B" w:rsidP="00F27F2B">
      <w:pPr>
        <w:rPr>
          <w:color w:val="000000"/>
        </w:rPr>
      </w:pPr>
      <w:r w:rsidRPr="00ED5F02">
        <w:t xml:space="preserve">       Powiat</w:t>
      </w:r>
      <w:r w:rsidRPr="00ED5F02">
        <w:rPr>
          <w:rFonts w:eastAsia="Arial"/>
        </w:rPr>
        <w:t xml:space="preserve"> wołomiński stanowi obszar około 95 300 ha, położony </w:t>
      </w:r>
      <w:r w:rsidRPr="00ED5F02">
        <w:t>w</w:t>
      </w:r>
      <w:r w:rsidRPr="00ED5F02">
        <w:rPr>
          <w:rFonts w:eastAsia="Arial"/>
        </w:rPr>
        <w:t xml:space="preserve"> centralnej (północno-wschodniej)  części </w:t>
      </w:r>
      <w:r w:rsidRPr="00ED5F02">
        <w:t>województwa</w:t>
      </w:r>
      <w:r w:rsidRPr="00ED5F02">
        <w:rPr>
          <w:rFonts w:eastAsia="Arial"/>
        </w:rPr>
        <w:t xml:space="preserve"> mazowieckiego</w:t>
      </w:r>
      <w:r w:rsidRPr="00ED5F02">
        <w:t>.</w:t>
      </w:r>
      <w:r w:rsidRPr="00ED5F02">
        <w:rPr>
          <w:rFonts w:eastAsia="Arial"/>
        </w:rPr>
        <w:t xml:space="preserve"> G</w:t>
      </w:r>
      <w:r w:rsidRPr="00ED5F02">
        <w:t>raniczy</w:t>
      </w:r>
      <w:r w:rsidRPr="00ED5F02">
        <w:rPr>
          <w:rFonts w:eastAsia="Arial"/>
        </w:rPr>
        <w:t xml:space="preserve"> </w:t>
      </w:r>
      <w:r w:rsidRPr="00ED5F02">
        <w:t>z</w:t>
      </w:r>
      <w:r w:rsidRPr="00ED5F02">
        <w:rPr>
          <w:rFonts w:eastAsia="Arial"/>
        </w:rPr>
        <w:t xml:space="preserve"> </w:t>
      </w:r>
      <w:r w:rsidRPr="00ED5F02">
        <w:t>powiatami: legionowskim, wyszkowskim, węgrowskim, mińskim oraz</w:t>
      </w:r>
      <w:r>
        <w:t xml:space="preserve"> m. st.</w:t>
      </w:r>
      <w:r w:rsidRPr="00ED5F02">
        <w:t xml:space="preserve"> Warszawą.</w:t>
      </w:r>
      <w:r w:rsidRPr="00ED5F02">
        <w:rPr>
          <w:rFonts w:eastAsia="Arial"/>
        </w:rPr>
        <w:t xml:space="preserve"> </w:t>
      </w:r>
      <w:r w:rsidRPr="00ED5F02">
        <w:t>Obejmuje,</w:t>
      </w:r>
      <w:r w:rsidRPr="00ED5F02">
        <w:rPr>
          <w:rFonts w:eastAsia="Arial"/>
        </w:rPr>
        <w:t xml:space="preserve"> </w:t>
      </w:r>
      <w:r w:rsidRPr="00ED5F02">
        <w:t>w</w:t>
      </w:r>
      <w:r w:rsidRPr="00ED5F02">
        <w:rPr>
          <w:rFonts w:eastAsia="Arial"/>
        </w:rPr>
        <w:t xml:space="preserve"> </w:t>
      </w:r>
      <w:r w:rsidRPr="00ED5F02">
        <w:t>swych</w:t>
      </w:r>
      <w:r w:rsidRPr="00ED5F02">
        <w:rPr>
          <w:rFonts w:eastAsia="Arial"/>
        </w:rPr>
        <w:t xml:space="preserve"> </w:t>
      </w:r>
      <w:r w:rsidRPr="00ED5F02">
        <w:t>granicach</w:t>
      </w:r>
      <w:r w:rsidRPr="00ED5F02">
        <w:rPr>
          <w:rFonts w:eastAsia="Arial"/>
        </w:rPr>
        <w:t xml:space="preserve"> </w:t>
      </w:r>
      <w:r w:rsidRPr="00ED5F02">
        <w:t>administracyjnych,</w:t>
      </w:r>
      <w:r w:rsidRPr="00ED5F02">
        <w:rPr>
          <w:rFonts w:eastAsia="Arial"/>
        </w:rPr>
        <w:t xml:space="preserve"> dwanaście </w:t>
      </w:r>
      <w:r w:rsidRPr="00ED5F02">
        <w:t>gmin</w:t>
      </w:r>
      <w:r w:rsidRPr="00ED5F02">
        <w:rPr>
          <w:rFonts w:eastAsia="Arial"/>
        </w:rPr>
        <w:t xml:space="preserve"> </w:t>
      </w:r>
      <w:r w:rsidRPr="00ED5F02">
        <w:rPr>
          <w:color w:val="000000"/>
        </w:rPr>
        <w:t xml:space="preserve">w tym: cztery miejskie (miasta: Ząbki, Marki, Zielonka, Kobyłka), trzy miejsko-wiejskie (Radzymin, Wołomin i Tłuszcz) oraz pięć wiejskich (Dąbrówka, Klembów, Poświętne, Strachówka, Jadów). </w:t>
      </w:r>
    </w:p>
    <w:p w:rsidR="00F27F2B" w:rsidRPr="00ED5F02" w:rsidRDefault="00F27F2B" w:rsidP="00F27F2B">
      <w:pPr>
        <w:rPr>
          <w:color w:val="000000"/>
        </w:rPr>
      </w:pPr>
    </w:p>
    <w:p w:rsidR="00F27F2B" w:rsidRDefault="00F27F2B" w:rsidP="00F27F2B">
      <w:pPr>
        <w:rPr>
          <w:color w:val="000000"/>
        </w:rPr>
      </w:pPr>
      <w:r>
        <w:rPr>
          <w:color w:val="000000"/>
        </w:rPr>
        <w:t>Przedmiotem zamówienia jest projekt osnowy dla obszaru czterech gmin:</w:t>
      </w:r>
    </w:p>
    <w:p w:rsidR="00F27F2B" w:rsidRDefault="00F27F2B" w:rsidP="00F27F2B">
      <w:pPr>
        <w:pStyle w:val="Akapitzlist"/>
        <w:numPr>
          <w:ilvl w:val="0"/>
          <w:numId w:val="2"/>
        </w:numPr>
      </w:pPr>
      <w:r w:rsidRPr="00900BC2">
        <w:t>143406_2</w:t>
      </w:r>
      <w:r>
        <w:t xml:space="preserve"> - gmina Jadów – gmina wiejska o powierzchni około 11.600ha, w skład wchodzi  26 obrębów ewidencyjnych. W bazie osnów </w:t>
      </w:r>
      <w:proofErr w:type="spellStart"/>
      <w:r>
        <w:t>PODGiK</w:t>
      </w:r>
      <w:proofErr w:type="spellEnd"/>
      <w:r>
        <w:t xml:space="preserve"> znajduje się informacja o 83 punktach osnowy wysokościowej. </w:t>
      </w:r>
    </w:p>
    <w:p w:rsidR="00F27F2B" w:rsidRDefault="00F27F2B" w:rsidP="00F27F2B">
      <w:pPr>
        <w:pStyle w:val="Akapitzlist"/>
        <w:numPr>
          <w:ilvl w:val="0"/>
          <w:numId w:val="2"/>
        </w:numPr>
      </w:pPr>
      <w:r w:rsidRPr="00900BC2">
        <w:t>143408_2</w:t>
      </w:r>
      <w:r>
        <w:t xml:space="preserve"> – gmina Poświętne – gmina wiejska o powierzchni około 10.400ha, w skład gminy wchodzi 25 obrębów ewidencyjnych.</w:t>
      </w:r>
      <w:r w:rsidRPr="0053702A">
        <w:t xml:space="preserve"> </w:t>
      </w:r>
      <w:r>
        <w:t xml:space="preserve">W bazie osnów </w:t>
      </w:r>
      <w:proofErr w:type="spellStart"/>
      <w:r>
        <w:t>PODGiK</w:t>
      </w:r>
      <w:proofErr w:type="spellEnd"/>
      <w:r>
        <w:t xml:space="preserve"> znajduje się informacja o 57 punktach osnowy wysokościowej.</w:t>
      </w:r>
    </w:p>
    <w:p w:rsidR="00F27F2B" w:rsidRDefault="00F27F2B" w:rsidP="00F27F2B">
      <w:pPr>
        <w:pStyle w:val="Akapitzlist"/>
        <w:numPr>
          <w:ilvl w:val="0"/>
          <w:numId w:val="2"/>
        </w:numPr>
      </w:pPr>
      <w:r w:rsidRPr="00FF1097">
        <w:t>143410_2</w:t>
      </w:r>
      <w:r>
        <w:t xml:space="preserve"> – gmina Strachówka – gmina wiejska o powierzchni około 10.700ha, w skład gminy wchodzi 22 obręby ewidencyjne.</w:t>
      </w:r>
      <w:r w:rsidRPr="0053702A">
        <w:t xml:space="preserve"> </w:t>
      </w:r>
      <w:r>
        <w:t xml:space="preserve">W bazie osnów </w:t>
      </w:r>
      <w:proofErr w:type="spellStart"/>
      <w:r>
        <w:t>PODGiK</w:t>
      </w:r>
      <w:proofErr w:type="spellEnd"/>
      <w:r>
        <w:t xml:space="preserve"> znajduje się informacja o 21 punktach osnowy wysokościowej.</w:t>
      </w:r>
    </w:p>
    <w:p w:rsidR="00F27F2B" w:rsidRPr="00D915D3" w:rsidRDefault="00F27F2B" w:rsidP="00F27F2B">
      <w:pPr>
        <w:pStyle w:val="Akapitzlist"/>
        <w:numPr>
          <w:ilvl w:val="0"/>
          <w:numId w:val="2"/>
        </w:numPr>
      </w:pPr>
      <w:r w:rsidRPr="00FF1097">
        <w:t>143411_4</w:t>
      </w:r>
      <w:r>
        <w:t xml:space="preserve"> – gmina Tłuszcz – gmina miejsko-wiejska o powierzchni około 10.300ha, w skład gminy wchodzi miasto Tłuszcz (jeden obręb ewidencyjny) o powierzchni około 790ha, oraz 24 obręby ewidencyjne (obszar wiejski)</w:t>
      </w:r>
      <w:r w:rsidRPr="0053702A">
        <w:t xml:space="preserve"> </w:t>
      </w:r>
      <w:r>
        <w:t>.</w:t>
      </w:r>
      <w:r w:rsidRPr="0053702A">
        <w:t xml:space="preserve"> </w:t>
      </w:r>
      <w:r>
        <w:t xml:space="preserve">W bazie osnów </w:t>
      </w:r>
      <w:proofErr w:type="spellStart"/>
      <w:r>
        <w:t>PODGiK</w:t>
      </w:r>
      <w:proofErr w:type="spellEnd"/>
      <w:r>
        <w:t xml:space="preserve"> znajduje się informacja o 162 punktach osnowy wysokościowej.</w:t>
      </w:r>
    </w:p>
    <w:p w:rsidR="00F27F2B" w:rsidRPr="00ED5F02" w:rsidRDefault="00F27F2B" w:rsidP="00F27F2B">
      <w:pPr>
        <w:tabs>
          <w:tab w:val="left" w:pos="142"/>
        </w:tabs>
        <w:ind w:left="425"/>
        <w:jc w:val="center"/>
        <w:rPr>
          <w:rFonts w:eastAsia="Arial"/>
        </w:rPr>
      </w:pPr>
      <w:r>
        <w:rPr>
          <w:noProof/>
        </w:rPr>
        <w:drawing>
          <wp:inline distT="0" distB="0" distL="0" distR="0" wp14:anchorId="25CC76A4" wp14:editId="2FF03264">
            <wp:extent cx="4478400" cy="28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8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2B" w:rsidRPr="00ED5F02" w:rsidRDefault="00F27F2B" w:rsidP="00F27F2B">
      <w:pPr>
        <w:tabs>
          <w:tab w:val="left" w:pos="142"/>
        </w:tabs>
        <w:ind w:left="425"/>
        <w:jc w:val="both"/>
        <w:rPr>
          <w:color w:val="000000"/>
        </w:rPr>
      </w:pPr>
    </w:p>
    <w:p w:rsidR="00F27F2B" w:rsidRPr="00ED5F02" w:rsidRDefault="00F27F2B" w:rsidP="00F27F2B">
      <w:pPr>
        <w:tabs>
          <w:tab w:val="left" w:pos="142"/>
        </w:tabs>
        <w:ind w:left="425" w:firstLine="567"/>
        <w:jc w:val="both"/>
        <w:rPr>
          <w:b/>
          <w:color w:val="000000"/>
          <w:sz w:val="28"/>
          <w:szCs w:val="28"/>
        </w:rPr>
      </w:pPr>
    </w:p>
    <w:p w:rsidR="00F27F2B" w:rsidRPr="00ED5F02" w:rsidRDefault="00F27F2B" w:rsidP="00F27F2B">
      <w:pPr>
        <w:pStyle w:val="Standard"/>
        <w:numPr>
          <w:ilvl w:val="0"/>
          <w:numId w:val="1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>Obowiązujące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przepisy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prawne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i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techniczne.</w:t>
      </w:r>
    </w:p>
    <w:p w:rsidR="00F27F2B" w:rsidRPr="00ED5F02" w:rsidRDefault="00F27F2B" w:rsidP="00F27F2B">
      <w:pPr>
        <w:ind w:left="360"/>
      </w:pPr>
    </w:p>
    <w:p w:rsidR="00F27F2B" w:rsidRPr="00AB77BB" w:rsidRDefault="00F27F2B" w:rsidP="00F27F2B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B77BB">
        <w:t>Ustawa z dnia 17 maja 1989 r. Prawo geodezyjne i kartograficzne (Dz.U. z 2015 r., poz. 520 ze zm.)</w:t>
      </w:r>
    </w:p>
    <w:p w:rsidR="00F27F2B" w:rsidRPr="00AB77BB" w:rsidRDefault="00F27F2B" w:rsidP="00F27F2B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B77BB">
        <w:t xml:space="preserve">Rozporządzenie Ministra Administracji i Cyfryzacji z dnia 14 lutego 2012 r. w sprawie osnów geodezyjnych, grawimetrycznych i magnetycznych (Dz.U. z 2012 r., poz. 352) </w:t>
      </w:r>
    </w:p>
    <w:p w:rsidR="00F27F2B" w:rsidRPr="00AB77BB" w:rsidRDefault="00F27F2B" w:rsidP="00F27F2B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B77BB">
        <w:t xml:space="preserve">Rozporządzenie Rady Ministrów z dnia 15 października 2012 r. w sprawie państwowego systemu odniesień przestrzennych (Dz.U. z 2012 r., poz. 1247) </w:t>
      </w:r>
    </w:p>
    <w:p w:rsidR="00F27F2B" w:rsidRPr="00AB77BB" w:rsidRDefault="00F27F2B" w:rsidP="00F27F2B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B77BB">
        <w:t xml:space="preserve">Rozporządzenie Ministra Spraw Wewnętrznych i Administracji z dnia 15 kwietnia 1999 r. w sprawie ochrony znaków geodezyjnych, grawimetrycznych i magnetycznych (Dz.U. z 1999 r., Nr 45, poz. 454 ze zm.) </w:t>
      </w:r>
    </w:p>
    <w:p w:rsidR="00F27F2B" w:rsidRPr="00AB77BB" w:rsidRDefault="00F27F2B" w:rsidP="00F27F2B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B77BB">
        <w:t xml:space="preserve">Rozporządzenie Ministra Spraw Wewnętrznych i Administracji z dnia 9 listopada 2011 r. w sprawie standardów technicznych wykonywania pomiarów sytuacyjnych i wysokościowych oraz opracowywania i przekazywania wyników tych pomiarów do państwowego zasobu geodezyjnego i kartograficznego (Dz.U. nr 263, poz. 1572) </w:t>
      </w:r>
    </w:p>
    <w:p w:rsidR="00F27F2B" w:rsidRPr="00AB77BB" w:rsidRDefault="00F27F2B" w:rsidP="00F27F2B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AB77BB">
        <w:t>Rozporządzenie Ministra Administracji i Cyfryzacji z 5 września 2013 r. w sprawie organizacji i trybu prowadzenia państwowego zasobu geodezyjnego i kartograficznego (Dz.U. z 2013 r., poz. 1183),</w:t>
      </w:r>
    </w:p>
    <w:p w:rsidR="00F27F2B" w:rsidRPr="00ED5F02" w:rsidRDefault="00F27F2B" w:rsidP="00F27F2B">
      <w:pPr>
        <w:spacing w:after="60"/>
        <w:jc w:val="both"/>
        <w:rPr>
          <w:sz w:val="22"/>
          <w:szCs w:val="22"/>
        </w:rPr>
      </w:pPr>
    </w:p>
    <w:p w:rsidR="00F27F2B" w:rsidRPr="00ED5F02" w:rsidRDefault="00F27F2B" w:rsidP="00F27F2B">
      <w:pPr>
        <w:tabs>
          <w:tab w:val="left" w:pos="360"/>
        </w:tabs>
        <w:spacing w:after="60"/>
        <w:ind w:left="357"/>
      </w:pPr>
    </w:p>
    <w:p w:rsidR="00F27F2B" w:rsidRPr="00ED5F02" w:rsidRDefault="00F27F2B" w:rsidP="00F27F2B">
      <w:pPr>
        <w:tabs>
          <w:tab w:val="left" w:pos="360"/>
        </w:tabs>
        <w:spacing w:after="60"/>
        <w:ind w:left="357"/>
      </w:pPr>
    </w:p>
    <w:p w:rsidR="00F27F2B" w:rsidRDefault="00F27F2B" w:rsidP="00F27F2B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 xml:space="preserve"> Zakres</w:t>
      </w:r>
      <w:r w:rsidRPr="00ED5F02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prac:</w:t>
      </w:r>
    </w:p>
    <w:p w:rsidR="00F27F2B" w:rsidRDefault="00F27F2B" w:rsidP="00F27F2B">
      <w:pPr>
        <w:pStyle w:val="Akapitzlist"/>
        <w:numPr>
          <w:ilvl w:val="1"/>
          <w:numId w:val="1"/>
        </w:numPr>
        <w:tabs>
          <w:tab w:val="left" w:pos="426"/>
        </w:tabs>
        <w:suppressAutoHyphens/>
      </w:pPr>
      <w:r>
        <w:t>Sporządzenie projektu szczegółowej osnowy wysokościowej i wielofunkcyjnej na zasadach o których mowa w rozporządzeniu [3.2].</w:t>
      </w:r>
    </w:p>
    <w:p w:rsidR="00F27F2B" w:rsidRDefault="00F27F2B" w:rsidP="00F27F2B">
      <w:pPr>
        <w:pStyle w:val="Akapitzlist"/>
        <w:numPr>
          <w:ilvl w:val="1"/>
          <w:numId w:val="1"/>
        </w:numPr>
        <w:tabs>
          <w:tab w:val="left" w:pos="426"/>
        </w:tabs>
        <w:suppressAutoHyphens/>
      </w:pPr>
      <w:r>
        <w:t>W przypadku osnowy wielofunkcyjnej (poziomej i wysokościowej) projekt musi uwzględniać następujące cechy lokalizacji i stabilizacji znaku:</w:t>
      </w:r>
    </w:p>
    <w:p w:rsidR="00F27F2B" w:rsidRDefault="00F27F2B" w:rsidP="00F27F2B">
      <w:pPr>
        <w:pStyle w:val="Akapitzlist"/>
        <w:numPr>
          <w:ilvl w:val="2"/>
          <w:numId w:val="1"/>
        </w:numPr>
        <w:tabs>
          <w:tab w:val="left" w:pos="426"/>
        </w:tabs>
        <w:suppressAutoHyphens/>
      </w:pPr>
      <w:r>
        <w:t>Znak ziemny, o stabilizacji jednopoziomowej (blok betonowy – formowany na miejscu z osadzonym znakiem geodezyjnym) o wymiarach: średnica około 30cm, zagłębienie p.p.t. minimum 120cm (poniżej poziomu przemarzania), wysokość n.p.t. nie mniejsza niż 30cm.</w:t>
      </w:r>
    </w:p>
    <w:p w:rsidR="00F27F2B" w:rsidRDefault="00F27F2B" w:rsidP="00F27F2B">
      <w:pPr>
        <w:pStyle w:val="Akapitzlist"/>
        <w:numPr>
          <w:ilvl w:val="2"/>
          <w:numId w:val="1"/>
        </w:numPr>
        <w:tabs>
          <w:tab w:val="left" w:pos="426"/>
        </w:tabs>
        <w:suppressAutoHyphens/>
      </w:pPr>
      <w:r>
        <w:t>Projekt powinien przewidywać liczbę znaków wielofunkcyjnych w ilości nie mniejszej niż 2 znaki na obręb/wieś (odstępstwo wymaga ustaleń z zamawiającym)</w:t>
      </w:r>
    </w:p>
    <w:p w:rsidR="00F27F2B" w:rsidRDefault="00F27F2B" w:rsidP="00F27F2B">
      <w:pPr>
        <w:pStyle w:val="Akapitzlist"/>
        <w:numPr>
          <w:ilvl w:val="2"/>
          <w:numId w:val="1"/>
        </w:numPr>
        <w:tabs>
          <w:tab w:val="left" w:pos="426"/>
        </w:tabs>
        <w:suppressAutoHyphens/>
      </w:pPr>
      <w:r>
        <w:t>Usytuowanie znaku wielofunkcyjnego ma zapewnić bezpośredni pomiar w technologii GNSS (metoda statyczna)</w:t>
      </w:r>
    </w:p>
    <w:p w:rsidR="00F27F2B" w:rsidRDefault="00F27F2B" w:rsidP="00F27F2B">
      <w:pPr>
        <w:pStyle w:val="Akapitzlist"/>
        <w:numPr>
          <w:ilvl w:val="2"/>
          <w:numId w:val="1"/>
        </w:numPr>
        <w:tabs>
          <w:tab w:val="left" w:pos="426"/>
        </w:tabs>
        <w:suppressAutoHyphens/>
      </w:pPr>
      <w:r>
        <w:t>Docelowo znaki wielofunkcyjne mają pełnić funkcje dla:</w:t>
      </w:r>
    </w:p>
    <w:p w:rsidR="00F27F2B" w:rsidRDefault="00F27F2B" w:rsidP="00F27F2B">
      <w:pPr>
        <w:pStyle w:val="Akapitzlist"/>
        <w:numPr>
          <w:ilvl w:val="4"/>
          <w:numId w:val="1"/>
        </w:numPr>
        <w:tabs>
          <w:tab w:val="left" w:pos="426"/>
        </w:tabs>
        <w:suppressAutoHyphens/>
      </w:pPr>
      <w:r>
        <w:t xml:space="preserve"> bezpośredniej kontroli pomiarów odbiornikami GNSS (poziomego i wysokościowego) </w:t>
      </w:r>
    </w:p>
    <w:p w:rsidR="00F27F2B" w:rsidRDefault="00F27F2B" w:rsidP="00F27F2B">
      <w:pPr>
        <w:pStyle w:val="Akapitzlist"/>
        <w:numPr>
          <w:ilvl w:val="4"/>
          <w:numId w:val="1"/>
        </w:numPr>
        <w:tabs>
          <w:tab w:val="left" w:pos="426"/>
        </w:tabs>
        <w:suppressAutoHyphens/>
      </w:pPr>
      <w:r>
        <w:t xml:space="preserve">wykonywania pomiarów wysokościowych metodami geometrycznymi </w:t>
      </w:r>
    </w:p>
    <w:p w:rsidR="00F27F2B" w:rsidRDefault="00F27F2B" w:rsidP="00F27F2B">
      <w:pPr>
        <w:pStyle w:val="Akapitzlist"/>
        <w:numPr>
          <w:ilvl w:val="1"/>
          <w:numId w:val="1"/>
        </w:numPr>
        <w:tabs>
          <w:tab w:val="left" w:pos="426"/>
        </w:tabs>
        <w:suppressAutoHyphens/>
      </w:pPr>
      <w:r>
        <w:t xml:space="preserve">Projektowane ciągi niwelacyjne muszą uwzględniać przejście przez wszystkie dotychczas istniejące, wysokościowe znaki geodezyjne z obszaru opracowania bez względu na stwierdzony lub wykazany w bazie </w:t>
      </w:r>
      <w:proofErr w:type="spellStart"/>
      <w:r>
        <w:t>PODGiK</w:t>
      </w:r>
      <w:proofErr w:type="spellEnd"/>
      <w:r>
        <w:t xml:space="preserve"> stan punktu.</w:t>
      </w:r>
    </w:p>
    <w:p w:rsidR="00F27F2B" w:rsidRDefault="00F27F2B" w:rsidP="00F27F2B">
      <w:pPr>
        <w:pStyle w:val="Akapitzlist"/>
        <w:numPr>
          <w:ilvl w:val="1"/>
          <w:numId w:val="1"/>
        </w:numPr>
        <w:tabs>
          <w:tab w:val="left" w:pos="426"/>
        </w:tabs>
        <w:suppressAutoHyphens/>
      </w:pPr>
      <w:r>
        <w:t>Uzyskanie pisemnych zgód od właścicieli/władających nieruchomościami na przebudowę/montaż/wykonanie istniejących lub nowych znaków geodezyjnych (pierwszeństwo w wyborze lokalizacji powinny mieć drogi oraz nieruchomości użyteczności publicznej).</w:t>
      </w:r>
    </w:p>
    <w:p w:rsidR="00F27F2B" w:rsidRDefault="00F27F2B" w:rsidP="00F27F2B">
      <w:pPr>
        <w:widowControl w:val="0"/>
        <w:tabs>
          <w:tab w:val="left" w:pos="426"/>
        </w:tabs>
        <w:jc w:val="both"/>
      </w:pPr>
    </w:p>
    <w:p w:rsidR="00F27F2B" w:rsidRPr="002C21B3" w:rsidRDefault="00F27F2B" w:rsidP="00F27F2B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F27F2B" w:rsidRPr="00ED5F02" w:rsidRDefault="00F27F2B" w:rsidP="00F27F2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360"/>
        <w:ind w:left="646" w:hanging="64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Skład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operatu.</w:t>
      </w:r>
    </w:p>
    <w:p w:rsidR="00F27F2B" w:rsidRPr="008472C7" w:rsidRDefault="00F27F2B" w:rsidP="00F27F2B">
      <w:pPr>
        <w:tabs>
          <w:tab w:val="left" w:pos="993"/>
        </w:tabs>
        <w:spacing w:before="120" w:after="60"/>
        <w:ind w:left="425" w:hanging="425"/>
        <w:jc w:val="both"/>
      </w:pPr>
      <w:r w:rsidRPr="00ED5F02">
        <w:tab/>
      </w:r>
      <w:r w:rsidRPr="00ED5F02">
        <w:tab/>
      </w:r>
      <w:r w:rsidRPr="008472C7">
        <w:t>Operat techniczny z wykonania pracy należy skompletować zgodnie z obowiązującymi przepisami, w</w:t>
      </w:r>
      <w:r>
        <w:t xml:space="preserve"> </w:t>
      </w:r>
      <w:r w:rsidRPr="008472C7">
        <w:t>szczególności Rozporządzeniem</w:t>
      </w:r>
      <w:r w:rsidRPr="008472C7">
        <w:rPr>
          <w:rFonts w:eastAsia="Arial"/>
        </w:rPr>
        <w:t xml:space="preserve"> </w:t>
      </w:r>
      <w:r w:rsidRPr="008472C7">
        <w:t>Ministra</w:t>
      </w:r>
      <w:r w:rsidRPr="008472C7">
        <w:rPr>
          <w:rFonts w:eastAsia="Arial"/>
        </w:rPr>
        <w:t xml:space="preserve"> </w:t>
      </w:r>
      <w:r w:rsidRPr="008472C7">
        <w:t>Spraw</w:t>
      </w:r>
      <w:r w:rsidRPr="008472C7">
        <w:rPr>
          <w:rFonts w:eastAsia="Arial"/>
        </w:rPr>
        <w:t xml:space="preserve"> </w:t>
      </w:r>
      <w:r w:rsidRPr="008472C7">
        <w:t>Wewnętrznych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Administracji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dnia</w:t>
      </w:r>
      <w:r w:rsidRPr="008472C7">
        <w:rPr>
          <w:rFonts w:eastAsia="Arial"/>
        </w:rPr>
        <w:t xml:space="preserve"> </w:t>
      </w:r>
      <w:r w:rsidRPr="008472C7">
        <w:t>9</w:t>
      </w:r>
      <w:r w:rsidRPr="008472C7">
        <w:rPr>
          <w:rFonts w:eastAsia="Arial"/>
        </w:rPr>
        <w:t xml:space="preserve"> </w:t>
      </w:r>
      <w:r w:rsidRPr="008472C7">
        <w:t>listopada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w</w:t>
      </w:r>
      <w:r w:rsidRPr="008472C7">
        <w:rPr>
          <w:rFonts w:eastAsia="Arial"/>
        </w:rPr>
        <w:t xml:space="preserve"> </w:t>
      </w:r>
      <w:r w:rsidRPr="008472C7">
        <w:t>sprawie</w:t>
      </w:r>
      <w:r w:rsidRPr="008472C7">
        <w:rPr>
          <w:rFonts w:eastAsia="Arial"/>
        </w:rPr>
        <w:t xml:space="preserve"> </w:t>
      </w:r>
      <w:r w:rsidRPr="008472C7">
        <w:t>standardów</w:t>
      </w:r>
      <w:r w:rsidRPr="008472C7">
        <w:rPr>
          <w:rFonts w:eastAsia="Arial"/>
        </w:rPr>
        <w:t xml:space="preserve"> </w:t>
      </w:r>
      <w:r w:rsidRPr="008472C7">
        <w:t>technicznych</w:t>
      </w:r>
      <w:r w:rsidRPr="008472C7">
        <w:rPr>
          <w:rFonts w:eastAsia="Arial"/>
        </w:rPr>
        <w:t xml:space="preserve"> </w:t>
      </w:r>
      <w:r w:rsidRPr="008472C7">
        <w:t>wykonywania</w:t>
      </w:r>
      <w:r w:rsidRPr="008472C7">
        <w:rPr>
          <w:rFonts w:eastAsia="Arial"/>
        </w:rPr>
        <w:t xml:space="preserve"> </w:t>
      </w:r>
      <w:r w:rsidRPr="008472C7">
        <w:t>geodezyjnych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sytuacyjnych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wysokościowych</w:t>
      </w:r>
      <w:r w:rsidRPr="008472C7">
        <w:rPr>
          <w:rFonts w:eastAsia="Arial"/>
        </w:rPr>
        <w:t xml:space="preserve"> </w:t>
      </w:r>
      <w:r w:rsidRPr="008472C7">
        <w:t>oraz</w:t>
      </w:r>
      <w:r w:rsidRPr="008472C7">
        <w:rPr>
          <w:rFonts w:eastAsia="Arial"/>
        </w:rPr>
        <w:t xml:space="preserve"> </w:t>
      </w:r>
      <w:r w:rsidRPr="008472C7">
        <w:t>opracowywania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przekazywania</w:t>
      </w:r>
      <w:r w:rsidRPr="008472C7">
        <w:rPr>
          <w:rFonts w:eastAsia="Arial"/>
        </w:rPr>
        <w:t xml:space="preserve"> </w:t>
      </w:r>
      <w:r w:rsidRPr="008472C7">
        <w:t>wyników</w:t>
      </w:r>
      <w:r w:rsidRPr="008472C7">
        <w:rPr>
          <w:rFonts w:eastAsia="Arial"/>
        </w:rPr>
        <w:t xml:space="preserve"> </w:t>
      </w:r>
      <w:r w:rsidRPr="008472C7">
        <w:t>tych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do</w:t>
      </w:r>
      <w:r w:rsidRPr="008472C7">
        <w:rPr>
          <w:rFonts w:eastAsia="Arial"/>
        </w:rPr>
        <w:t xml:space="preserve"> </w:t>
      </w:r>
      <w:proofErr w:type="spellStart"/>
      <w:r w:rsidRPr="008472C7">
        <w:t>pzgik</w:t>
      </w:r>
      <w:proofErr w:type="spellEnd"/>
      <w:r w:rsidRPr="008472C7">
        <w:rPr>
          <w:rFonts w:eastAsia="Arial"/>
        </w:rPr>
        <w:t xml:space="preserve"> </w:t>
      </w:r>
      <w:r w:rsidRPr="008472C7">
        <w:t>(Dz.</w:t>
      </w:r>
      <w:r w:rsidRPr="008472C7">
        <w:rPr>
          <w:rFonts w:eastAsia="Arial"/>
        </w:rPr>
        <w:t xml:space="preserve"> </w:t>
      </w:r>
      <w:r w:rsidRPr="008472C7">
        <w:t>U.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Nr</w:t>
      </w:r>
      <w:r w:rsidRPr="008472C7">
        <w:rPr>
          <w:rFonts w:eastAsia="Arial"/>
        </w:rPr>
        <w:t xml:space="preserve"> </w:t>
      </w:r>
      <w:r w:rsidRPr="008472C7">
        <w:t>263,</w:t>
      </w:r>
      <w:r w:rsidRPr="008472C7">
        <w:rPr>
          <w:rFonts w:eastAsia="Arial"/>
        </w:rPr>
        <w:t xml:space="preserve"> </w:t>
      </w:r>
      <w:r w:rsidRPr="008472C7">
        <w:t>poz.</w:t>
      </w:r>
      <w:r w:rsidRPr="008472C7">
        <w:rPr>
          <w:rFonts w:eastAsia="Arial"/>
        </w:rPr>
        <w:t xml:space="preserve"> </w:t>
      </w:r>
      <w:r>
        <w:t>1572).</w:t>
      </w:r>
    </w:p>
    <w:p w:rsidR="00F27F2B" w:rsidRPr="008472C7" w:rsidRDefault="00F27F2B" w:rsidP="00F27F2B">
      <w:pPr>
        <w:tabs>
          <w:tab w:val="left" w:pos="993"/>
        </w:tabs>
        <w:spacing w:before="120" w:after="60"/>
        <w:ind w:left="425" w:hanging="425"/>
        <w:jc w:val="both"/>
      </w:pPr>
      <w:r w:rsidRPr="008472C7">
        <w:tab/>
        <w:t>Geodezyjna dokumentacja techniczna z prac powinna być przekazana w formie dokumentów elektronicznych, o których mowa w przepisach ustawy o informatyzacji działalności podmiotów realizujących zadania pub</w:t>
      </w:r>
      <w:r>
        <w:t xml:space="preserve">liczne lub </w:t>
      </w:r>
      <w:r w:rsidRPr="008472C7">
        <w:t>w formie analogowej. Do d</w:t>
      </w:r>
      <w:r>
        <w:t>okumentacji należy dołączyć nośnik</w:t>
      </w:r>
      <w:r w:rsidRPr="008472C7">
        <w:t xml:space="preserve"> (CD, DVD) z wynikami prac przewi</w:t>
      </w:r>
      <w:r>
        <w:t>dzianymi niniejszym zamówieniem oraz jeden dodatkowy komplet (nie wchodzący w skład operatu) barwnej mapy z projektem osnowy na podkładzie mapy topograficznej w skali 1:10000.</w:t>
      </w:r>
    </w:p>
    <w:p w:rsidR="00F27F2B" w:rsidRPr="00ED5F02" w:rsidRDefault="00F27F2B" w:rsidP="00F27F2B">
      <w:pPr>
        <w:widowControl w:val="0"/>
        <w:tabs>
          <w:tab w:val="left" w:pos="426"/>
        </w:tabs>
        <w:spacing w:before="360"/>
        <w:rPr>
          <w:b/>
        </w:rPr>
      </w:pPr>
    </w:p>
    <w:p w:rsidR="00F27F2B" w:rsidRDefault="00F27F2B" w:rsidP="00F27F2B">
      <w:pPr>
        <w:rPr>
          <w:rFonts w:ascii="Arial" w:hAnsi="Arial" w:cs="Arial"/>
          <w:b/>
          <w:color w:val="000000"/>
          <w:sz w:val="28"/>
        </w:rPr>
      </w:pPr>
    </w:p>
    <w:p w:rsidR="00F27F2B" w:rsidRDefault="00F27F2B" w:rsidP="00F27F2B">
      <w:pPr>
        <w:rPr>
          <w:rFonts w:ascii="Arial" w:hAnsi="Arial" w:cs="Arial"/>
          <w:b/>
          <w:color w:val="000000"/>
          <w:sz w:val="28"/>
        </w:rPr>
      </w:pPr>
    </w:p>
    <w:p w:rsidR="00F27F2B" w:rsidRDefault="00F27F2B" w:rsidP="00F27F2B">
      <w:pPr>
        <w:rPr>
          <w:rFonts w:ascii="Arial" w:hAnsi="Arial" w:cs="Arial"/>
          <w:b/>
          <w:color w:val="000000"/>
          <w:sz w:val="28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F27F2B" w:rsidRDefault="00F27F2B" w:rsidP="00F27F2B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780A7B" w:rsidRDefault="00780A7B"/>
    <w:sectPr w:rsidR="0078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D1214"/>
    <w:multiLevelType w:val="hybridMultilevel"/>
    <w:tmpl w:val="AC7E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59CC"/>
    <w:multiLevelType w:val="hybridMultilevel"/>
    <w:tmpl w:val="8488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B"/>
    <w:rsid w:val="00780A7B"/>
    <w:rsid w:val="00CD439B"/>
    <w:rsid w:val="00F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2B"/>
    <w:pPr>
      <w:ind w:left="720"/>
      <w:contextualSpacing/>
    </w:pPr>
  </w:style>
  <w:style w:type="paragraph" w:customStyle="1" w:styleId="Standard">
    <w:name w:val="Standard"/>
    <w:rsid w:val="00F27F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2B"/>
    <w:pPr>
      <w:ind w:left="720"/>
      <w:contextualSpacing/>
    </w:pPr>
  </w:style>
  <w:style w:type="paragraph" w:customStyle="1" w:styleId="Standard">
    <w:name w:val="Standard"/>
    <w:rsid w:val="00F27F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2017-09-04T14:18:00Z</dcterms:created>
  <dcterms:modified xsi:type="dcterms:W3CDTF">2017-09-04T14:19:00Z</dcterms:modified>
</cp:coreProperties>
</file>